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BA" w:rsidRPr="00132E30" w:rsidRDefault="006F6ABA" w:rsidP="006F6ABA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6</w:t>
      </w:r>
    </w:p>
    <w:p w:rsidR="006F6ABA" w:rsidRPr="00CF5D8A" w:rsidRDefault="006F6ABA" w:rsidP="006F6ABA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6F6ABA" w:rsidRPr="00CF5D8A" w:rsidTr="00021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i/>
                <w:szCs w:val="20"/>
                <w:lang w:eastAsia="nl-NL"/>
              </w:rPr>
            </w:pPr>
            <w:bookmarkStart w:id="0" w:name="_GoBack" w:colFirst="1" w:colLast="1"/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6F6ABA" w:rsidRPr="00132E30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132E30">
              <w:rPr>
                <w:rFonts w:eastAsia="Times New Roman" w:cs="Arial"/>
                <w:szCs w:val="20"/>
                <w:lang w:eastAsia="nl-NL"/>
              </w:rPr>
              <w:t xml:space="preserve">Genotmiddelen en geneesmiddelen die de </w:t>
            </w:r>
            <w:proofErr w:type="spellStart"/>
            <w:r w:rsidRPr="00132E30">
              <w:rPr>
                <w:rFonts w:eastAsia="Times New Roman" w:cs="Arial"/>
                <w:szCs w:val="20"/>
                <w:lang w:eastAsia="nl-NL"/>
              </w:rPr>
              <w:t>psyche</w:t>
            </w:r>
            <w:proofErr w:type="spellEnd"/>
            <w:r w:rsidRPr="00132E30">
              <w:rPr>
                <w:rFonts w:eastAsia="Times New Roman" w:cs="Arial"/>
                <w:szCs w:val="20"/>
                <w:lang w:eastAsia="nl-NL"/>
              </w:rPr>
              <w:t xml:space="preserve"> beïnvloeden</w:t>
            </w:r>
          </w:p>
        </w:tc>
      </w:tr>
      <w:bookmarkEnd w:id="0"/>
      <w:tr w:rsidR="006F6ABA" w:rsidRPr="00CF5D8A" w:rsidTr="00021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6F6ABA" w:rsidRPr="003A32C6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Psychische en psychiatrische ziektebeelden zijn tegenwoordig heel redelijk te beïnvloeden met medicijnen. De z.g. psychofarmaca . In de huisartsenpraktijk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zul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 xml:space="preserve"> je met deze groep medicamenten dan ook regelmatig in aanmerking komen.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Soms kunnen deze geneesmiddelen verslavend zijn.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Naast geneesmiddelen zijn er ook genotmiddelen die de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psyche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 xml:space="preserve"> beïnvloeden en wanneer men eraan verslaafd is kunnen deze ook, naast lichamelijke klachten, psychische klachten en zelfs psychiatrische ziektebeelden tot gevolg hebben .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Verslaafden aan drugs en alcohol kunnen regelmatige bezoekers zijn van een huisartsenpraktijk.</w:t>
            </w:r>
          </w:p>
        </w:tc>
      </w:tr>
      <w:tr w:rsidR="006F6ABA" w:rsidRPr="00CF5D8A" w:rsidTr="00021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6F6ABA" w:rsidRPr="003A32C6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6F6ABA" w:rsidRPr="00CF5D8A" w:rsidRDefault="006F6ABA" w:rsidP="006F6AB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Geef verschillen en eventueel overeenkomsten aan tussen genotmiddelen en geneesmiddelen (denk aan de effecten van deze middelen)</w:t>
            </w:r>
          </w:p>
          <w:p w:rsidR="006F6ABA" w:rsidRPr="00CF5D8A" w:rsidRDefault="006F6ABA" w:rsidP="006F6AB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Leg uit wat  een drug is</w:t>
            </w:r>
          </w:p>
          <w:p w:rsidR="006F6ABA" w:rsidRPr="00CF5D8A" w:rsidRDefault="006F6ABA" w:rsidP="006F6AB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Leg uit wat het verschil is tussen gewenning en verslaving.</w:t>
            </w:r>
          </w:p>
          <w:p w:rsidR="006F6ABA" w:rsidRPr="00CF5D8A" w:rsidRDefault="006F6ABA" w:rsidP="006F6AB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Bestudeer wat de CAGE test is.</w:t>
            </w:r>
          </w:p>
          <w:p w:rsidR="006F6ABA" w:rsidRPr="00CF5D8A" w:rsidRDefault="006F6ABA" w:rsidP="006F6AB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Noem een aantal  verschijnselen/ gedragingen waaraan je een alcoholverslaafde en een drugsverslaafde kunt herkennen.</w:t>
            </w:r>
          </w:p>
          <w:p w:rsidR="006F6ABA" w:rsidRPr="00CF5D8A" w:rsidRDefault="006F6ABA" w:rsidP="006F6AB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Maak een lijstje van 8 genotmiddelen die verslavend kunnen zijn, geef daarbij ook aan wat het effect is waarvoor deze gebruikt worden </w:t>
            </w:r>
          </w:p>
          <w:p w:rsidR="006F6ABA" w:rsidRPr="00CF5D8A" w:rsidRDefault="006F6ABA" w:rsidP="006F6AB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Noem, naast de huisarts, 3 instanties waar verslaafden geholpen kunnen worden.</w:t>
            </w:r>
          </w:p>
          <w:p w:rsidR="006F6ABA" w:rsidRPr="00CF5D8A" w:rsidRDefault="006F6ABA" w:rsidP="006F6AB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Noem 10 veel voorgeschreven medicijnen die de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psyche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 xml:space="preserve"> beïnvloeden. Geef de indicatie en de bijwerkingen</w:t>
            </w:r>
          </w:p>
        </w:tc>
      </w:tr>
      <w:tr w:rsidR="006F6ABA" w:rsidRPr="00CF5D8A" w:rsidTr="00021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6F6ABA" w:rsidRPr="003A32C6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Ondersteuning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Geneesmiddelenkennis</w:t>
            </w:r>
          </w:p>
        </w:tc>
      </w:tr>
      <w:tr w:rsidR="006F6ABA" w:rsidRPr="00CF5D8A" w:rsidTr="000213DF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6F6ABA" w:rsidRPr="003A32C6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Boeken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Patiënten met chronische aandoeningen,  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Geneesmiddelenkennis 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Farmacotherapeutisch Kompas</w:t>
            </w:r>
          </w:p>
          <w:p w:rsidR="006F6ABA" w:rsidRPr="00CF5D8A" w:rsidRDefault="006F6ABA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Internet</w:t>
            </w:r>
          </w:p>
        </w:tc>
      </w:tr>
    </w:tbl>
    <w:p w:rsidR="00453CA7" w:rsidRDefault="006F6ABA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76545"/>
    <w:multiLevelType w:val="singleLevel"/>
    <w:tmpl w:val="13E4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5370322"/>
    <w:multiLevelType w:val="singleLevel"/>
    <w:tmpl w:val="13E4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BA"/>
    <w:rsid w:val="006F6ABA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9AEC-4030-4B2D-9903-10CE532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F6ABA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2017-04-10T08:43:00Z</dcterms:created>
  <dcterms:modified xsi:type="dcterms:W3CDTF">2017-04-10T08:43:00Z</dcterms:modified>
</cp:coreProperties>
</file>